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eastAsia="Microsoft YaHei" w:hAnsi="Arial"/>
          <w:b/>
          <w:bCs/>
          <w:color w:val="2563EB"/>
          <w:sz w:val="16"/>
          <w:szCs w:val="16"/>
        </w:rPr>
        <w:t xml:space="preserve">澄序元智获 · 企业 AI 落地</w:t>
      </w:r>
    </w:p>
    <w:p>
      <w:pPr>
        <w:pBdr>
          <w:bottom w:val="single" w:color="2563EB" w:sz="14" w:space="6"/>
        </w:pBdr>
        <w:spacing w:after="60"/>
      </w:pPr>
      <w:r>
        <w:rPr>
          <w:rFonts w:ascii="Arial" w:eastAsia="Microsoft YaHei" w:hAnsi="Arial"/>
          <w:b/>
          <w:bCs/>
          <w:color w:val="0F1B2D"/>
          <w:sz w:val="34"/>
          <w:szCs w:val="34"/>
        </w:rPr>
        <w:t xml:space="preserve">工作流梳理模板</w:t>
      </w:r>
    </w:p>
    <w:p>
      <w:pPr>
        <w:spacing w:after="200" w:before="120"/>
      </w:pPr>
      <w:r>
        <w:rPr>
          <w:rFonts w:ascii="Arial" w:eastAsia="Microsoft YaHei" w:hAnsi="Arial"/>
          <w:color w:val="64748B"/>
          <w:sz w:val="21"/>
          <w:szCs w:val="21"/>
        </w:rPr>
        <w:t xml:space="preserve">把一条重复流程拆成节点、责任人与工具，找出可自动化 / 可用 AI 的切入点。</w:t>
      </w:r>
    </w:p>
    <w:tbl>
      <w:tblPr>
        <w:tblW w:type="dxa" w:w="9026"/>
        <w:tblBorders>
          <w:top w:val="single" w:color="DBEAFE" w:sz="4"/>
          <w:left w:val="single" w:color="2563EB" w:sz="18"/>
          <w:bottom w:val="single" w:color="DBEAFE" w:sz="4"/>
          <w:right w:val="single" w:color="DBEAFE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shd w:fill="F5F9FF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Arial" w:eastAsia="Microsoft YaHei" w:hAnsi="Arial"/>
                <w:b/>
                <w:bCs/>
                <w:color w:val="2563EB"/>
                <w:sz w:val="20"/>
                <w:szCs w:val="20"/>
              </w:rPr>
              <w:t xml:space="preserve">使用说明</w:t>
            </w:r>
          </w:p>
          <w:p>
            <w:pPr>
              <w:spacing w:after="40" w:line="280"/>
            </w:pPr>
            <w:r>
              <w:rPr>
                <w:rFonts w:ascii="Arial" w:eastAsia="Microsoft YaHei" w:hAnsi="Arial"/>
                <w:color w:val="334155"/>
                <w:sz w:val="19"/>
                <w:szCs w:val="19"/>
              </w:rPr>
              <w:t xml:space="preserve">1. 一次只梳理一条流程（如「一篇内容从选题到发布」「一条线索从进线到成交」）。</w:t>
            </w:r>
          </w:p>
          <w:p>
            <w:pPr>
              <w:spacing w:after="40" w:line="280"/>
            </w:pPr>
            <w:r>
              <w:rPr>
                <w:rFonts w:ascii="Arial" w:eastAsia="Microsoft YaHei" w:hAnsi="Arial"/>
                <w:color w:val="334155"/>
                <w:sz w:val="19"/>
                <w:szCs w:val="19"/>
              </w:rPr>
              <w:t xml:space="preserve">2. 先如实记录现状节点，再评估每个节点能否自动化，不要一上来就想全自动。</w:t>
            </w:r>
          </w:p>
          <w:p>
            <w:pPr>
              <w:spacing w:after="0" w:line="280"/>
            </w:pPr>
            <w:r>
              <w:rPr>
                <w:rFonts w:ascii="Arial" w:eastAsia="Microsoft YaHei" w:hAnsi="Arial"/>
                <w:color w:val="334155"/>
                <w:sz w:val="19"/>
                <w:szCs w:val="19"/>
              </w:rPr>
              <w:t xml:space="preserve">3. 明确哪些节点必须保留人工审核，这是稳妥落地的关键。</w:t>
            </w:r>
          </w:p>
        </w:tc>
      </w:tr>
    </w:tbl>
    <w:p>
      <w:pPr>
        <w:keepNext/>
        <w:spacing w:after="120" w:before="260"/>
      </w:pPr>
      <w:r>
        <w:rPr>
          <w:rFonts w:ascii="Arial" w:eastAsia="Microsoft YaHei" w:hAnsi="Arial"/>
          <w:b/>
          <w:bCs/>
          <w:color w:val="0F1B2D"/>
          <w:sz w:val="25"/>
          <w:szCs w:val="25"/>
        </w:rPr>
        <w:t xml:space="preserve">一、工作流基本信息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55"/>
        <w:gridCol w:w="6371"/>
      </w:tblGrid>
      <w:tr>
        <w:trPr>
          <w:tblHeader/>
        </w:trP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项目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填写</w:t>
            </w:r>
          </w:p>
        </w:tc>
      </w:tr>
      <w:t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工作流名称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覆盖部门 / 角色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整体负责人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触发方式（谁 / 什么时候启动）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期望产出（做完得到什么）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当前整体耗时 / 频率</w:t>
            </w:r>
          </w:p>
        </w:tc>
        <w:tc>
          <w:tcPr>
            <w:tcW w:type="dxa" w:w="637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</w:tbl>
    <w:p>
      <w:pPr>
        <w:keepNext/>
        <w:spacing w:after="120" w:before="260"/>
      </w:pPr>
      <w:r>
        <w:rPr>
          <w:rFonts w:ascii="Arial" w:eastAsia="Microsoft YaHei" w:hAnsi="Arial"/>
          <w:b/>
          <w:bCs/>
          <w:color w:val="0F1B2D"/>
          <w:sz w:val="25"/>
          <w:szCs w:val="25"/>
        </w:rPr>
        <w:t xml:space="preserve">二、流程节点拆解</w:t>
      </w:r>
    </w:p>
    <w:p>
      <w:pPr>
        <w:spacing w:after="100" w:line="300"/>
      </w:pPr>
      <w:r>
        <w:rPr>
          <w:rFonts w:ascii="Arial" w:eastAsia="Microsoft YaHei" w:hAnsi="Arial"/>
          <w:color w:val="64748B"/>
          <w:sz w:val="19"/>
          <w:szCs w:val="19"/>
        </w:rPr>
        <w:t xml:space="preserve">按实际顺序逐个节点填写。「可自动化」先判断是 / 否 / 部分，细节在第三节展开。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1440"/>
        <w:gridCol w:w="1536"/>
        <w:gridCol w:w="1920"/>
        <w:gridCol w:w="1536"/>
        <w:gridCol w:w="1056"/>
        <w:gridCol w:w="1058"/>
      </w:tblGrid>
      <w:tr>
        <w:trPr>
          <w:tblHeader/>
        </w:trPr>
        <w:tc>
          <w:tcPr>
            <w:tcW w:type="dxa" w:w="48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#</w:t>
            </w:r>
          </w:p>
        </w:tc>
        <w:tc>
          <w:tcPr>
            <w:tcW w:type="dxa" w:w="144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节点名称</w:t>
            </w:r>
          </w:p>
        </w:tc>
        <w:tc>
          <w:tcPr>
            <w:tcW w:type="dxa" w:w="153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输入</w:t>
            </w:r>
          </w:p>
        </w:tc>
        <w:tc>
          <w:tcPr>
            <w:tcW w:type="dxa" w:w="192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处理动作</w:t>
            </w:r>
          </w:p>
        </w:tc>
        <w:tc>
          <w:tcPr>
            <w:tcW w:type="dxa" w:w="153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输出</w:t>
            </w:r>
          </w:p>
        </w:tc>
        <w:tc>
          <w:tcPr>
            <w:tcW w:type="dxa" w:w="10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负责人</w:t>
            </w:r>
          </w:p>
        </w:tc>
        <w:tc>
          <w:tcPr>
            <w:tcW w:type="dxa" w:w="105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可自动化</w:t>
            </w:r>
          </w:p>
        </w:tc>
      </w:tr>
      <w:tr>
        <w:tc>
          <w:tcPr>
            <w:tcW w:type="dxa" w:w="48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1</w:t>
            </w:r>
          </w:p>
        </w:tc>
        <w:tc>
          <w:tcPr>
            <w:tcW w:type="dxa" w:w="144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92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0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05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是/否/部分</w:t>
            </w:r>
          </w:p>
        </w:tc>
      </w:tr>
      <w:tr>
        <w:tc>
          <w:tcPr>
            <w:tcW w:type="dxa" w:w="48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2</w:t>
            </w:r>
          </w:p>
        </w:tc>
        <w:tc>
          <w:tcPr>
            <w:tcW w:type="dxa" w:w="144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92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0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05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是/否/部分</w:t>
            </w:r>
          </w:p>
        </w:tc>
      </w:tr>
      <w:tr>
        <w:tc>
          <w:tcPr>
            <w:tcW w:type="dxa" w:w="48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3</w:t>
            </w:r>
          </w:p>
        </w:tc>
        <w:tc>
          <w:tcPr>
            <w:tcW w:type="dxa" w:w="144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92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0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05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是/否/部分</w:t>
            </w:r>
          </w:p>
        </w:tc>
      </w:tr>
      <w:tr>
        <w:tc>
          <w:tcPr>
            <w:tcW w:type="dxa" w:w="48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4</w:t>
            </w:r>
          </w:p>
        </w:tc>
        <w:tc>
          <w:tcPr>
            <w:tcW w:type="dxa" w:w="144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92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0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05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是/否/部分</w:t>
            </w:r>
          </w:p>
        </w:tc>
      </w:tr>
      <w:tr>
        <w:tc>
          <w:tcPr>
            <w:tcW w:type="dxa" w:w="48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5</w:t>
            </w:r>
          </w:p>
        </w:tc>
        <w:tc>
          <w:tcPr>
            <w:tcW w:type="dxa" w:w="144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92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0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05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是/否/部分</w:t>
            </w:r>
          </w:p>
        </w:tc>
      </w:tr>
      <w:tr>
        <w:tc>
          <w:tcPr>
            <w:tcW w:type="dxa" w:w="48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6</w:t>
            </w:r>
          </w:p>
        </w:tc>
        <w:tc>
          <w:tcPr>
            <w:tcW w:type="dxa" w:w="144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92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53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0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05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是/否/部分</w:t>
            </w:r>
          </w:p>
        </w:tc>
      </w:tr>
    </w:tbl>
    <w:p>
      <w:pPr>
        <w:keepNext/>
        <w:spacing w:after="120" w:before="260"/>
      </w:pPr>
      <w:r>
        <w:rPr>
          <w:rFonts w:ascii="Arial" w:eastAsia="Microsoft YaHei" w:hAnsi="Arial"/>
          <w:b/>
          <w:bCs/>
          <w:color w:val="0F1B2D"/>
          <w:sz w:val="25"/>
          <w:szCs w:val="25"/>
        </w:rPr>
        <w:t xml:space="preserve">三、自动化 / AI 切入点评估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36"/>
        <w:gridCol w:w="1744"/>
        <w:gridCol w:w="1436"/>
        <w:gridCol w:w="2154"/>
        <w:gridCol w:w="2256"/>
      </w:tblGrid>
      <w:tr>
        <w:trPr>
          <w:tblHeader/>
        </w:trPr>
        <w:tc>
          <w:tcPr>
            <w:tcW w:type="dxa" w:w="143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节点</w:t>
            </w:r>
          </w:p>
        </w:tc>
        <w:tc>
          <w:tcPr>
            <w:tcW w:type="dxa" w:w="1744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方式(AI/规则/集成)</w:t>
            </w:r>
          </w:p>
        </w:tc>
        <w:tc>
          <w:tcPr>
            <w:tcW w:type="dxa" w:w="143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预期节省</w:t>
            </w:r>
          </w:p>
        </w:tc>
        <w:tc>
          <w:tcPr>
            <w:tcW w:type="dxa" w:w="2154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依赖条件</w:t>
            </w:r>
          </w:p>
        </w:tc>
        <w:tc>
          <w:tcPr>
            <w:tcW w:type="dxa" w:w="22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风险 / 注意</w:t>
            </w:r>
          </w:p>
        </w:tc>
      </w:tr>
      <w:tr>
        <w:tc>
          <w:tcPr>
            <w:tcW w:type="dxa" w:w="143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744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43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154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2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3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744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43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154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2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3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744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43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154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25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</w:tbl>
    <w:p>
      <w:pPr>
        <w:keepNext/>
        <w:spacing w:after="120" w:before="260"/>
      </w:pPr>
      <w:r>
        <w:rPr>
          <w:rFonts w:ascii="Arial" w:eastAsia="Microsoft YaHei" w:hAnsi="Arial"/>
          <w:b/>
          <w:bCs/>
          <w:color w:val="0F1B2D"/>
          <w:sz w:val="25"/>
          <w:szCs w:val="25"/>
        </w:rPr>
        <w:t xml:space="preserve">四、人工审核与兜底</w:t>
      </w:r>
    </w:p>
    <w:p>
      <w:pPr>
        <w:pStyle w:val="ListParagraph"/>
        <w:numPr>
          <w:ilvl w:val="0"/>
          <w:numId w:val="2"/>
        </w:numPr>
        <w:spacing w:after="40" w:line="288"/>
      </w:pPr>
      <w:r>
        <w:rPr>
          <w:rFonts w:ascii="Arial" w:eastAsia="Microsoft YaHei" w:hAnsi="Arial"/>
          <w:color w:val="1F2937"/>
          <w:sz w:val="20"/>
          <w:szCs w:val="20"/>
        </w:rPr>
        <w:t xml:space="preserve">必须保留人工审核的节点：____________________</w:t>
      </w:r>
    </w:p>
    <w:p>
      <w:pPr>
        <w:pStyle w:val="ListParagraph"/>
        <w:numPr>
          <w:ilvl w:val="0"/>
          <w:numId w:val="2"/>
        </w:numPr>
        <w:spacing w:after="40" w:line="288"/>
      </w:pPr>
      <w:r>
        <w:rPr>
          <w:rFonts w:ascii="Arial" w:eastAsia="Microsoft YaHei" w:hAnsi="Arial"/>
          <w:color w:val="1F2937"/>
          <w:sz w:val="20"/>
          <w:szCs w:val="20"/>
        </w:rPr>
        <w:t xml:space="preserve">自动化失败时的兜底方案：____________________</w:t>
      </w:r>
    </w:p>
    <w:p>
      <w:pPr>
        <w:pStyle w:val="ListParagraph"/>
        <w:numPr>
          <w:ilvl w:val="0"/>
          <w:numId w:val="2"/>
        </w:numPr>
        <w:spacing w:after="40" w:line="288"/>
      </w:pPr>
      <w:r>
        <w:rPr>
          <w:rFonts w:ascii="Arial" w:eastAsia="Microsoft YaHei" w:hAnsi="Arial"/>
          <w:color w:val="1F2937"/>
          <w:sz w:val="20"/>
          <w:szCs w:val="20"/>
        </w:rPr>
        <w:t xml:space="preserve">异常 / 投诉的上报路径：____________________</w:t>
      </w:r>
    </w:p>
    <w:p>
      <w:pPr>
        <w:keepNext/>
        <w:spacing w:after="120" w:before="260"/>
      </w:pPr>
      <w:r>
        <w:rPr>
          <w:rFonts w:ascii="Arial" w:eastAsia="Microsoft YaHei" w:hAnsi="Arial"/>
          <w:b/>
          <w:bCs/>
          <w:color w:val="0F1B2D"/>
          <w:sz w:val="25"/>
          <w:szCs w:val="25"/>
        </w:rPr>
        <w:t xml:space="preserve">五、上线与迭代计划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6"/>
        <w:gridCol w:w="3761"/>
        <w:gridCol w:w="1504"/>
        <w:gridCol w:w="1755"/>
      </w:tblGrid>
      <w:tr>
        <w:trPr>
          <w:tblHeader/>
        </w:trPr>
        <w:tc>
          <w:tcPr>
            <w:tcW w:type="dxa" w:w="200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阶段</w:t>
            </w:r>
          </w:p>
        </w:tc>
        <w:tc>
          <w:tcPr>
            <w:tcW w:type="dxa" w:w="376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目标</w:t>
            </w:r>
          </w:p>
        </w:tc>
        <w:tc>
          <w:tcPr>
            <w:tcW w:type="dxa" w:w="1504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负责人</w:t>
            </w:r>
          </w:p>
        </w:tc>
        <w:tc>
          <w:tcPr>
            <w:tcW w:type="dxa" w:w="17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时间</w:t>
            </w:r>
          </w:p>
        </w:tc>
      </w:tr>
      <w:tr>
        <w:tc>
          <w:tcPr>
            <w:tcW w:type="dxa" w:w="200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试运行</w:t>
            </w:r>
          </w:p>
        </w:tc>
        <w:tc>
          <w:tcPr>
            <w:tcW w:type="dxa" w:w="376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504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0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小范围推广</w:t>
            </w:r>
          </w:p>
        </w:tc>
        <w:tc>
          <w:tcPr>
            <w:tcW w:type="dxa" w:w="376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504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06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固化为标准流程</w:t>
            </w:r>
          </w:p>
        </w:tc>
        <w:tc>
          <w:tcPr>
            <w:tcW w:type="dxa" w:w="376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504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175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</w:tbl>
    <w:p>
      <w:pPr>
        <w:spacing w:after="160"/>
      </w:pPr>
    </w:p>
    <w:p>
      <w:pPr>
        <w:spacing w:after="100" w:line="300"/>
      </w:pPr>
      <w:r>
        <w:rPr>
          <w:rFonts w:ascii="Arial" w:eastAsia="Microsoft YaHei" w:hAnsi="Arial"/>
          <w:color w:val="64748B"/>
          <w:sz w:val="19"/>
          <w:szCs w:val="19"/>
        </w:rPr>
        <w:t xml:space="preserve">梳理完想让工作流真正跑起来？澄序元智获可协助把节点配置成可复用的自动化流程。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E2EC" w:sz="4" w:space="6"/>
      </w:pBdr>
      <w:tabs>
        <w:tab w:val="right" w:pos="9026"/>
      </w:tabs>
      <w:spacing w:before="0"/>
    </w:pPr>
    <w:r>
      <w:rPr>
        <w:rFonts w:ascii="Arial" w:eastAsia="Microsoft YaHei" w:hAnsi="Arial"/>
        <w:color w:val="64748B"/>
        <w:sz w:val="16"/>
        <w:szCs w:val="16"/>
      </w:rPr>
      <w:t xml:space="preserve">本模板仅供参考，请结合企业实际情况调整。© 澄序元智获</w:t>
    </w:r>
    <w:r>
      <w:rPr>
        <w:rFonts w:ascii="Arial" w:eastAsia="Microsoft YaHei" w:hAnsi="Arial"/>
        <w:color w:val="64748B"/>
        <w:sz w:val="16"/>
        <w:szCs w:val="16"/>
      </w:rPr>
      <w:t xml:space="preserve">	第 </w:t>
      <w:fldChar w:fldCharType="begin"/>
      <w:instrText xml:space="preserve">PAGE</w:instrText>
      <w:fldChar w:fldCharType="separate"/>
      <w:fldChar w:fldCharType="end"/>
      <w:t xml:space="preserve"> 页 / 共 </w:t>
      <w:fldChar w:fldCharType="begin"/>
      <w:instrText xml:space="preserve">NUMPAGES</w:instrText>
      <w:fldChar w:fldCharType="separate"/>
      <w:fldChar w:fldCharType="end"/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E2EC" w:sz="4" w:space="6"/>
      </w:pBdr>
      <w:tabs>
        <w:tab w:val="right" w:pos="9026"/>
      </w:tabs>
      <w:spacing w:after="0"/>
    </w:pPr>
    <w:r>
      <w:rPr>
        <w:rFonts w:ascii="Arial" w:eastAsia="Microsoft YaHei" w:hAnsi="Arial"/>
        <w:b/>
        <w:bCs/>
        <w:color w:val="2563EB"/>
        <w:sz w:val="17"/>
        <w:szCs w:val="17"/>
      </w:rPr>
      <w:t xml:space="preserve">澄序元智获</w:t>
    </w:r>
    <w:r>
      <w:rPr>
        <w:rFonts w:ascii="Arial" w:eastAsia="Microsoft YaHei" w:hAnsi="Arial"/>
        <w:color w:val="64748B"/>
        <w:sz w:val="17"/>
        <w:szCs w:val="17"/>
      </w:rPr>
      <w:t xml:space="preserve">	工作流梳理模板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Microsoft YaHei" w:hAnsi="Arial"/>
        <w:color w:val="1F2937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工作流梳理模板</dc:title>
  <dc:creator>澄序元智获</dc:creator>
  <dc:description>把一条重复流程拆成节点、责任人与工具，找出可自动化 / 可用 AI 的切入点。</dc:description>
  <cp:lastModifiedBy>Un-named</cp:lastModifiedBy>
  <cp:revision>1</cp:revision>
  <dcterms:created xsi:type="dcterms:W3CDTF">2026-08-13T15:27:58.912Z</dcterms:created>
  <dcterms:modified xsi:type="dcterms:W3CDTF">2026-08-13T15:27:58.912Z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